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1A" w:rsidRDefault="004C4122">
      <w:pPr>
        <w:jc w:val="left"/>
        <w:rPr>
          <w:rStyle w:val="NormalCharacter"/>
          <w:rFonts w:ascii="黑体" w:eastAsia="黑体" w:hAnsi="黑体"/>
          <w:kern w:val="0"/>
          <w:sz w:val="32"/>
          <w:szCs w:val="32"/>
        </w:rPr>
      </w:pPr>
      <w:r>
        <w:rPr>
          <w:rFonts w:ascii="黑体" w:eastAsia="黑体" w:hAnsi="黑体"/>
          <w:noProof/>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r" b="b"/>
                          <a:pathLst/>
                        </a:custGeom>
                        <a:no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P3XpzwAAAAUBAAAPAAAAAAAAAAEA&#10;IAAAACIAAABkcnMvZG93bnJldi54bWxQSwECFAAUAAAACACHTuJAgQZSfBgCAABqBAAADgAAAAAA&#10;AAABACAAAAAeAQAAZHJzL2Uyb0RvYy54bWxQSwUGAAAAAAYABgBZAQAAqAUAAAAA&#10;">
                <v:fill on="f" focussize="0,0"/>
                <v:stroke on="f"/>
                <v:imagedata o:title=""/>
                <o:lock v:ext="edit" selection="t" aspectratio="t"/>
              </v:shape>
            </w:pict>
          </mc:Fallback>
        </mc:AlternateContent>
      </w:r>
      <w:r>
        <w:rPr>
          <w:rStyle w:val="NormalCharacter"/>
          <w:rFonts w:ascii="黑体" w:eastAsia="黑体" w:hAnsi="黑体"/>
          <w:kern w:val="0"/>
          <w:sz w:val="32"/>
          <w:szCs w:val="32"/>
        </w:rPr>
        <w:t>附件2</w:t>
      </w:r>
    </w:p>
    <w:p w:rsidR="0032341A" w:rsidRDefault="0032341A">
      <w:pPr>
        <w:jc w:val="center"/>
        <w:rPr>
          <w:rStyle w:val="NormalCharacter"/>
          <w:rFonts w:ascii="宋体" w:hAnsi="仿宋"/>
          <w:b/>
          <w:kern w:val="0"/>
          <w:sz w:val="32"/>
          <w:szCs w:val="32"/>
        </w:rPr>
      </w:pPr>
    </w:p>
    <w:p w:rsidR="0032341A" w:rsidRDefault="004C4122">
      <w:pPr>
        <w:adjustRightInd w:val="0"/>
        <w:snapToGrid w:val="0"/>
        <w:spacing w:line="760" w:lineRule="exact"/>
        <w:jc w:val="center"/>
        <w:rPr>
          <w:rStyle w:val="NormalCharacter"/>
          <w:rFonts w:ascii="方正小标宋简体" w:eastAsia="方正小标宋简体" w:hAnsi="宋体" w:cs="宋体"/>
          <w:bCs/>
          <w:color w:val="000000"/>
          <w:kern w:val="0"/>
          <w:sz w:val="44"/>
          <w:szCs w:val="44"/>
        </w:rPr>
      </w:pPr>
      <w:r>
        <w:rPr>
          <w:rFonts w:ascii="方正小标宋简体" w:eastAsia="方正小标宋简体" w:hAnsi="仿宋"/>
          <w:w w:val="98"/>
          <w:sz w:val="44"/>
          <w:szCs w:val="44"/>
        </w:rPr>
        <w:t>广东省第二批</w:t>
      </w:r>
      <w:r>
        <w:rPr>
          <w:rFonts w:ascii="方正小标宋简体" w:eastAsia="方正小标宋简体" w:hAnsi="仿宋"/>
          <w:w w:val="98"/>
          <w:sz w:val="44"/>
          <w:szCs w:val="44"/>
        </w:rPr>
        <w:t>“</w:t>
      </w:r>
      <w:r>
        <w:rPr>
          <w:rFonts w:ascii="方正小标宋简体" w:eastAsia="方正小标宋简体" w:hAnsi="仿宋"/>
          <w:w w:val="98"/>
          <w:sz w:val="44"/>
          <w:szCs w:val="44"/>
        </w:rPr>
        <w:t>双精准</w:t>
      </w:r>
      <w:r>
        <w:rPr>
          <w:rFonts w:ascii="方正小标宋简体" w:eastAsia="方正小标宋简体" w:hAnsi="仿宋"/>
          <w:w w:val="98"/>
          <w:sz w:val="44"/>
          <w:szCs w:val="44"/>
        </w:rPr>
        <w:t>”</w:t>
      </w:r>
      <w:r>
        <w:rPr>
          <w:rFonts w:ascii="方正小标宋简体" w:eastAsia="方正小标宋简体" w:hAnsi="仿宋"/>
          <w:w w:val="98"/>
          <w:sz w:val="44"/>
          <w:szCs w:val="44"/>
        </w:rPr>
        <w:t>示范专业建设项目</w:t>
      </w:r>
    </w:p>
    <w:p w:rsidR="0032341A" w:rsidRDefault="0032341A">
      <w:pPr>
        <w:ind w:firstLineChars="500" w:firstLine="2400"/>
        <w:rPr>
          <w:rStyle w:val="NormalCharacter"/>
          <w:sz w:val="48"/>
          <w:szCs w:val="48"/>
        </w:rPr>
      </w:pPr>
    </w:p>
    <w:p w:rsidR="0032341A" w:rsidRDefault="0032341A">
      <w:pPr>
        <w:ind w:firstLineChars="500" w:firstLine="2400"/>
        <w:rPr>
          <w:rStyle w:val="NormalCharacter"/>
          <w:sz w:val="48"/>
          <w:szCs w:val="48"/>
        </w:rPr>
      </w:pPr>
    </w:p>
    <w:p w:rsidR="0032341A" w:rsidRDefault="004C4122">
      <w:pPr>
        <w:jc w:val="center"/>
        <w:rPr>
          <w:rStyle w:val="NormalCharacter"/>
          <w:rFonts w:ascii="方正小标宋简体" w:eastAsia="方正小标宋简体" w:hAnsi="宋体" w:cs="宋体"/>
          <w:bCs/>
          <w:color w:val="000000"/>
          <w:kern w:val="0"/>
          <w:sz w:val="44"/>
          <w:szCs w:val="44"/>
        </w:rPr>
      </w:pPr>
      <w:r>
        <w:rPr>
          <w:rStyle w:val="NormalCharacter"/>
          <w:rFonts w:ascii="方正小标宋简体" w:eastAsia="方正小标宋简体" w:hAnsi="宋体" w:cs="宋体"/>
          <w:bCs/>
          <w:color w:val="000000"/>
          <w:kern w:val="0"/>
          <w:sz w:val="44"/>
          <w:szCs w:val="44"/>
        </w:rPr>
        <w:t>护理专业</w:t>
      </w:r>
    </w:p>
    <w:p w:rsidR="0032341A" w:rsidRDefault="0032341A">
      <w:pPr>
        <w:pStyle w:val="1"/>
        <w:rPr>
          <w:rFonts w:hint="default"/>
        </w:rPr>
      </w:pPr>
    </w:p>
    <w:p w:rsidR="0032341A" w:rsidRDefault="004C4122">
      <w:pPr>
        <w:jc w:val="center"/>
        <w:rPr>
          <w:rStyle w:val="NormalCharacter"/>
          <w:rFonts w:ascii="方正小标宋简体" w:eastAsia="方正小标宋简体" w:hAnsi="宋体" w:cs="宋体"/>
          <w:bCs/>
          <w:color w:val="000000"/>
          <w:kern w:val="0"/>
          <w:sz w:val="72"/>
          <w:szCs w:val="84"/>
        </w:rPr>
      </w:pPr>
      <w:r>
        <w:rPr>
          <w:rStyle w:val="NormalCharacter"/>
          <w:rFonts w:ascii="方正小标宋简体" w:eastAsia="方正小标宋简体" w:hAnsi="宋体" w:cs="宋体"/>
          <w:bCs/>
          <w:color w:val="000000"/>
          <w:kern w:val="0"/>
          <w:sz w:val="72"/>
          <w:szCs w:val="84"/>
        </w:rPr>
        <w:t>总结报告</w:t>
      </w:r>
    </w:p>
    <w:p w:rsidR="0032341A" w:rsidRDefault="0032341A">
      <w:pPr>
        <w:ind w:firstLineChars="500" w:firstLine="2400"/>
        <w:rPr>
          <w:rStyle w:val="NormalCharacter"/>
          <w:sz w:val="48"/>
          <w:szCs w:val="48"/>
        </w:rPr>
      </w:pPr>
    </w:p>
    <w:p w:rsidR="0032341A" w:rsidRDefault="0032341A">
      <w:pPr>
        <w:rPr>
          <w:rStyle w:val="NormalCharacter"/>
          <w:sz w:val="48"/>
          <w:szCs w:val="48"/>
        </w:rPr>
      </w:pPr>
    </w:p>
    <w:p w:rsidR="0032341A" w:rsidRDefault="0032341A">
      <w:pPr>
        <w:ind w:firstLineChars="500" w:firstLine="2400"/>
        <w:rPr>
          <w:rStyle w:val="NormalCharacter"/>
          <w:sz w:val="48"/>
          <w:szCs w:val="48"/>
        </w:rPr>
      </w:pPr>
    </w:p>
    <w:p w:rsidR="0032341A" w:rsidRDefault="0032341A">
      <w:pPr>
        <w:ind w:firstLineChars="500" w:firstLine="2400"/>
        <w:rPr>
          <w:rStyle w:val="NormalCharacter"/>
          <w:sz w:val="48"/>
          <w:szCs w:val="48"/>
        </w:rPr>
      </w:pPr>
    </w:p>
    <w:p w:rsidR="0032341A" w:rsidRDefault="0032341A">
      <w:pPr>
        <w:ind w:firstLineChars="500" w:firstLine="2400"/>
        <w:rPr>
          <w:rStyle w:val="NormalCharacter"/>
          <w:sz w:val="48"/>
          <w:szCs w:val="48"/>
        </w:rPr>
      </w:pPr>
    </w:p>
    <w:p w:rsidR="0032341A" w:rsidRDefault="0032341A">
      <w:pPr>
        <w:ind w:firstLineChars="500" w:firstLine="2400"/>
        <w:rPr>
          <w:rStyle w:val="NormalCharacter"/>
          <w:sz w:val="48"/>
          <w:szCs w:val="48"/>
        </w:rPr>
      </w:pPr>
    </w:p>
    <w:p w:rsidR="0032341A" w:rsidRDefault="004C4122">
      <w:pPr>
        <w:jc w:val="center"/>
        <w:rPr>
          <w:rStyle w:val="NormalCharacter"/>
          <w:rFonts w:ascii="仿宋_GB2312" w:eastAsia="仿宋_GB2312" w:hAnsi="宋体" w:cs="宋体"/>
          <w:bCs/>
          <w:color w:val="000000"/>
          <w:kern w:val="0"/>
          <w:sz w:val="36"/>
          <w:szCs w:val="36"/>
        </w:rPr>
      </w:pPr>
      <w:r>
        <w:rPr>
          <w:rStyle w:val="NormalCharacter"/>
          <w:rFonts w:ascii="仿宋_GB2312" w:eastAsia="仿宋_GB2312" w:hAnsi="仿宋_GB2312" w:cs="仿宋_GB2312"/>
          <w:bCs/>
          <w:color w:val="000000"/>
          <w:kern w:val="0"/>
          <w:sz w:val="44"/>
          <w:szCs w:val="44"/>
        </w:rPr>
        <w:t xml:space="preserve"> </w:t>
      </w:r>
      <w:r>
        <w:rPr>
          <w:rStyle w:val="NormalCharacter"/>
          <w:rFonts w:ascii="仿宋_GB2312" w:eastAsia="仿宋_GB2312" w:hAnsi="宋体" w:cs="宋体"/>
          <w:bCs/>
          <w:color w:val="000000"/>
          <w:kern w:val="0"/>
          <w:sz w:val="36"/>
          <w:szCs w:val="36"/>
        </w:rPr>
        <w:t>广东省湛江卫生学校（盖章）</w:t>
      </w:r>
    </w:p>
    <w:p w:rsidR="0032341A" w:rsidRDefault="004C4122">
      <w:pPr>
        <w:jc w:val="center"/>
        <w:rPr>
          <w:rStyle w:val="NormalCharacter"/>
          <w:rFonts w:ascii="宋体" w:hAnsi="仿宋"/>
          <w:b/>
          <w:kern w:val="0"/>
          <w:sz w:val="32"/>
          <w:szCs w:val="32"/>
        </w:rPr>
      </w:pPr>
      <w:r>
        <w:rPr>
          <w:rStyle w:val="NormalCharacter"/>
          <w:rFonts w:ascii="仿宋_GB2312" w:eastAsia="仿宋_GB2312" w:hAnsi="宋体" w:cs="宋体"/>
          <w:bCs/>
          <w:color w:val="000000"/>
          <w:kern w:val="0"/>
          <w:sz w:val="36"/>
          <w:szCs w:val="36"/>
        </w:rPr>
        <w:t>2023年</w:t>
      </w:r>
      <w:r>
        <w:rPr>
          <w:rStyle w:val="NormalCharacter"/>
          <w:rFonts w:ascii="仿宋_GB2312" w:eastAsia="仿宋_GB2312" w:hAnsi="宋体" w:cs="宋体" w:hint="eastAsia"/>
          <w:bCs/>
          <w:color w:val="000000"/>
          <w:kern w:val="0"/>
          <w:sz w:val="36"/>
          <w:szCs w:val="36"/>
        </w:rPr>
        <w:t>10</w:t>
      </w:r>
      <w:r>
        <w:rPr>
          <w:rStyle w:val="NormalCharacter"/>
          <w:rFonts w:ascii="仿宋_GB2312" w:eastAsia="仿宋_GB2312" w:hAnsi="宋体" w:cs="宋体"/>
          <w:bCs/>
          <w:color w:val="000000"/>
          <w:kern w:val="0"/>
          <w:sz w:val="36"/>
          <w:szCs w:val="36"/>
        </w:rPr>
        <w:t>月</w:t>
      </w:r>
    </w:p>
    <w:p w:rsidR="0032341A" w:rsidRDefault="0032341A">
      <w:pPr>
        <w:rPr>
          <w:rStyle w:val="NormalCharacter"/>
          <w:rFonts w:eastAsia="仿宋_GB2312"/>
          <w:b/>
          <w:sz w:val="32"/>
          <w:szCs w:val="32"/>
        </w:rPr>
        <w:sectPr w:rsidR="0032341A">
          <w:footerReference w:type="even" r:id="rId9"/>
          <w:footerReference w:type="default" r:id="rId10"/>
          <w:pgSz w:w="11906" w:h="16838"/>
          <w:pgMar w:top="2098" w:right="1474" w:bottom="1984" w:left="1587" w:header="851" w:footer="1587" w:gutter="0"/>
          <w:cols w:space="0"/>
          <w:docGrid w:type="lines" w:linePitch="312"/>
        </w:sectPr>
      </w:pPr>
    </w:p>
    <w:p w:rsidR="0032341A" w:rsidRDefault="004C4122">
      <w:pPr>
        <w:ind w:firstLineChars="200" w:firstLine="643"/>
        <w:rPr>
          <w:rStyle w:val="NormalCharacter"/>
          <w:rFonts w:ascii="仿宋_GB2312" w:eastAsia="仿宋_GB2312" w:hAnsi="宋体" w:cstheme="minorBidi"/>
          <w:b/>
          <w:bCs/>
          <w:kern w:val="0"/>
          <w:sz w:val="32"/>
          <w:szCs w:val="32"/>
        </w:rPr>
      </w:pPr>
      <w:r>
        <w:rPr>
          <w:rStyle w:val="NormalCharacter"/>
          <w:rFonts w:ascii="仿宋_GB2312" w:eastAsia="仿宋_GB2312" w:hAnsi="宋体" w:cstheme="minorBidi" w:hint="eastAsia"/>
          <w:b/>
          <w:bCs/>
          <w:kern w:val="0"/>
          <w:sz w:val="32"/>
          <w:szCs w:val="32"/>
        </w:rPr>
        <w:lastRenderedPageBreak/>
        <w:t>一、</w:t>
      </w:r>
      <w:r>
        <w:rPr>
          <w:rStyle w:val="NormalCharacter"/>
          <w:rFonts w:ascii="仿宋_GB2312" w:eastAsia="仿宋_GB2312" w:hAnsi="宋体" w:cstheme="minorBidi"/>
          <w:b/>
          <w:bCs/>
          <w:kern w:val="0"/>
          <w:sz w:val="32"/>
          <w:szCs w:val="32"/>
        </w:rPr>
        <w:t>项目基本情况</w:t>
      </w:r>
    </w:p>
    <w:p w:rsidR="0032341A" w:rsidRDefault="004C4122">
      <w:pPr>
        <w:ind w:firstLineChars="200" w:firstLine="640"/>
        <w:rPr>
          <w:rStyle w:val="NormalCharacter"/>
          <w:rFonts w:ascii="仿宋_GB2312" w:eastAsia="仿宋_GB2312" w:hAnsi="宋体" w:cstheme="minorBidi"/>
          <w:kern w:val="0"/>
          <w:sz w:val="32"/>
          <w:szCs w:val="32"/>
        </w:rPr>
      </w:pPr>
      <w:r>
        <w:rPr>
          <w:rStyle w:val="NormalCharacter"/>
          <w:rFonts w:ascii="仿宋_GB2312" w:eastAsia="仿宋_GB2312" w:hAnsi="宋体" w:cstheme="minorBidi" w:hint="eastAsia"/>
          <w:kern w:val="0"/>
          <w:sz w:val="32"/>
          <w:szCs w:val="32"/>
        </w:rPr>
        <w:t>学校于2019年4月申报中等职业学校“双精准”示范专业，2019年10月被广东省教育厅定为省第二批“双精准”示范专业项目。学校高度重视，成立“双精准”中职学校建设领导小组，由学校党委书记任组长，党委副书记、校长任执行组长，纪委书记、副校长任副组长，各科室负责人任组员，下设办公室，设在科教科。根据《关于开展第二批中等职业教育“双精准”示范专业项目遴选工作的通知》（粤教职函（2019）64号）要求，经学校申报、地市推荐、省复核及公示等环节，省教育厅确定广州市信息工程职业学校计算机网络技术专业等100个专业点为省第二批中等职业教育“双精准”示范专业建设点。</w:t>
      </w:r>
    </w:p>
    <w:p w:rsidR="0032341A" w:rsidRDefault="004C4122">
      <w:pPr>
        <w:ind w:firstLineChars="200" w:firstLine="640"/>
        <w:rPr>
          <w:rStyle w:val="NormalCharacter"/>
          <w:rFonts w:ascii="仿宋_GB2312" w:eastAsia="仿宋_GB2312" w:hAnsi="宋体" w:cstheme="minorBidi"/>
          <w:kern w:val="0"/>
          <w:sz w:val="32"/>
          <w:szCs w:val="32"/>
        </w:rPr>
      </w:pPr>
      <w:r>
        <w:rPr>
          <w:rStyle w:val="NormalCharacter"/>
          <w:rFonts w:ascii="仿宋_GB2312" w:eastAsia="仿宋_GB2312" w:hAnsi="宋体" w:cstheme="minorBidi" w:hint="eastAsia"/>
          <w:kern w:val="0"/>
          <w:sz w:val="32"/>
          <w:szCs w:val="32"/>
        </w:rPr>
        <w:t>我校于1955年开设护理专业，是我校的特色专业，是广东省重点专业。</w:t>
      </w:r>
      <w:r>
        <w:rPr>
          <w:rStyle w:val="NormalCharacter"/>
          <w:rFonts w:ascii="仿宋_GB2312" w:eastAsia="仿宋_GB2312" w:hAnsi="宋体" w:cstheme="minorBidi"/>
          <w:kern w:val="0"/>
          <w:sz w:val="32"/>
          <w:szCs w:val="32"/>
        </w:rPr>
        <w:t>经过</w:t>
      </w:r>
      <w:r>
        <w:rPr>
          <w:rStyle w:val="NormalCharacter"/>
          <w:rFonts w:ascii="仿宋_GB2312" w:eastAsia="仿宋_GB2312" w:hAnsi="宋体" w:cstheme="minorBidi" w:hint="eastAsia"/>
          <w:kern w:val="0"/>
          <w:sz w:val="32"/>
          <w:szCs w:val="32"/>
        </w:rPr>
        <w:t>近70</w:t>
      </w:r>
      <w:r>
        <w:rPr>
          <w:rStyle w:val="NormalCharacter"/>
          <w:rFonts w:ascii="仿宋_GB2312" w:eastAsia="仿宋_GB2312" w:hAnsi="宋体" w:cstheme="minorBidi"/>
          <w:kern w:val="0"/>
          <w:sz w:val="32"/>
          <w:szCs w:val="32"/>
        </w:rPr>
        <w:t>年的建设和发展，已形成办学规模适当、办学特色鲜明、毕业生就业率高，在省内外具有</w:t>
      </w:r>
      <w:r>
        <w:rPr>
          <w:rStyle w:val="NormalCharacter"/>
          <w:rFonts w:ascii="仿宋_GB2312" w:eastAsia="仿宋_GB2312" w:hAnsi="宋体" w:cstheme="minorBidi" w:hint="eastAsia"/>
          <w:kern w:val="0"/>
          <w:sz w:val="32"/>
          <w:szCs w:val="32"/>
        </w:rPr>
        <w:t>较高</w:t>
      </w:r>
      <w:r>
        <w:rPr>
          <w:rStyle w:val="NormalCharacter"/>
          <w:rFonts w:ascii="仿宋_GB2312" w:eastAsia="仿宋_GB2312" w:hAnsi="宋体" w:cstheme="minorBidi"/>
          <w:kern w:val="0"/>
          <w:sz w:val="32"/>
          <w:szCs w:val="32"/>
        </w:rPr>
        <w:t>声誉的长线、重点专业</w:t>
      </w:r>
      <w:r>
        <w:rPr>
          <w:rStyle w:val="NormalCharacter"/>
          <w:rFonts w:ascii="仿宋_GB2312" w:eastAsia="仿宋_GB2312" w:hAnsi="宋体" w:cstheme="minorBidi" w:hint="eastAsia"/>
          <w:kern w:val="0"/>
          <w:sz w:val="32"/>
          <w:szCs w:val="32"/>
        </w:rPr>
        <w:t>。该专业自开办以来已为国家培养了两万多名护理专业人才，毕业生主要就业在广东省的各级各类医疗单位、保健机构和养老护老等单位，毕业生具有扎实理论基础和专业技能，深受用人单位欢迎，大批毕业生已成为医疗单位的技术和管理骨干。作为学校主要的品牌专业，近十年来，护理专业年招生1000～</w:t>
      </w:r>
      <w:r>
        <w:rPr>
          <w:rStyle w:val="NormalCharacter"/>
          <w:rFonts w:ascii="仿宋_GB2312" w:eastAsia="仿宋_GB2312" w:hAnsi="宋体" w:cstheme="minorBidi"/>
          <w:kern w:val="0"/>
          <w:sz w:val="32"/>
          <w:szCs w:val="32"/>
        </w:rPr>
        <w:t>20</w:t>
      </w:r>
      <w:r>
        <w:rPr>
          <w:rStyle w:val="NormalCharacter"/>
          <w:rFonts w:ascii="仿宋_GB2312" w:eastAsia="仿宋_GB2312" w:hAnsi="宋体" w:cstheme="minorBidi" w:hint="eastAsia"/>
          <w:kern w:val="0"/>
          <w:sz w:val="32"/>
          <w:szCs w:val="32"/>
        </w:rPr>
        <w:t>00人，招生</w:t>
      </w:r>
      <w:r>
        <w:rPr>
          <w:rStyle w:val="NormalCharacter"/>
          <w:rFonts w:ascii="仿宋_GB2312" w:eastAsia="仿宋_GB2312" w:hAnsi="宋体" w:cstheme="minorBidi"/>
          <w:kern w:val="0"/>
          <w:sz w:val="32"/>
          <w:szCs w:val="32"/>
        </w:rPr>
        <w:t>规模</w:t>
      </w:r>
      <w:r>
        <w:rPr>
          <w:rStyle w:val="NormalCharacter"/>
          <w:rFonts w:ascii="仿宋_GB2312" w:eastAsia="仿宋_GB2312" w:hAnsi="宋体" w:cstheme="minorBidi" w:hint="eastAsia"/>
          <w:kern w:val="0"/>
          <w:sz w:val="32"/>
          <w:szCs w:val="32"/>
        </w:rPr>
        <w:t>位列</w:t>
      </w:r>
      <w:r>
        <w:rPr>
          <w:rStyle w:val="NormalCharacter"/>
          <w:rFonts w:ascii="仿宋_GB2312" w:eastAsia="仿宋_GB2312" w:hAnsi="宋体" w:cstheme="minorBidi"/>
          <w:kern w:val="0"/>
          <w:sz w:val="32"/>
          <w:szCs w:val="32"/>
        </w:rPr>
        <w:t>全省前茅</w:t>
      </w:r>
      <w:r>
        <w:rPr>
          <w:rStyle w:val="NormalCharacter"/>
          <w:rFonts w:ascii="仿宋_GB2312" w:eastAsia="仿宋_GB2312" w:hAnsi="宋体" w:cstheme="minorBidi" w:hint="eastAsia"/>
          <w:kern w:val="0"/>
          <w:sz w:val="32"/>
          <w:szCs w:val="32"/>
        </w:rPr>
        <w:t>。学校致力打造“厚德重技”</w:t>
      </w:r>
      <w:r>
        <w:rPr>
          <w:rStyle w:val="NormalCharacter"/>
          <w:rFonts w:ascii="仿宋_GB2312" w:eastAsia="仿宋_GB2312" w:hAnsi="宋体" w:cstheme="minorBidi" w:hint="eastAsia"/>
          <w:kern w:val="0"/>
          <w:sz w:val="32"/>
          <w:szCs w:val="32"/>
        </w:rPr>
        <w:lastRenderedPageBreak/>
        <w:t>的办学特色，积极</w:t>
      </w:r>
      <w:r>
        <w:rPr>
          <w:rStyle w:val="NormalCharacter"/>
          <w:rFonts w:ascii="仿宋_GB2312" w:eastAsia="仿宋_GB2312" w:hAnsi="宋体" w:cstheme="minorBidi"/>
          <w:kern w:val="0"/>
          <w:sz w:val="32"/>
          <w:szCs w:val="32"/>
        </w:rPr>
        <w:t>推进校企合作，</w:t>
      </w:r>
      <w:r>
        <w:rPr>
          <w:rStyle w:val="NormalCharacter"/>
          <w:rFonts w:ascii="仿宋_GB2312" w:eastAsia="仿宋_GB2312" w:hAnsi="宋体" w:cstheme="minorBidi" w:hint="eastAsia"/>
          <w:kern w:val="0"/>
          <w:sz w:val="32"/>
          <w:szCs w:val="32"/>
        </w:rPr>
        <w:t>探索精准育人</w:t>
      </w:r>
      <w:r>
        <w:rPr>
          <w:rStyle w:val="NormalCharacter"/>
          <w:rFonts w:ascii="仿宋_GB2312" w:eastAsia="仿宋_GB2312" w:hAnsi="宋体" w:cstheme="minorBidi"/>
          <w:kern w:val="0"/>
          <w:sz w:val="32"/>
          <w:szCs w:val="32"/>
        </w:rPr>
        <w:t>有效</w:t>
      </w:r>
      <w:r>
        <w:rPr>
          <w:rStyle w:val="NormalCharacter"/>
          <w:rFonts w:ascii="仿宋_GB2312" w:eastAsia="仿宋_GB2312" w:hAnsi="宋体" w:cstheme="minorBidi" w:hint="eastAsia"/>
          <w:kern w:val="0"/>
          <w:sz w:val="32"/>
          <w:szCs w:val="32"/>
        </w:rPr>
        <w:t>路</w:t>
      </w:r>
      <w:r>
        <w:rPr>
          <w:rStyle w:val="NormalCharacter"/>
          <w:rFonts w:ascii="仿宋_GB2312" w:eastAsia="仿宋_GB2312" w:hAnsi="宋体" w:cstheme="minorBidi"/>
          <w:kern w:val="0"/>
          <w:sz w:val="32"/>
          <w:szCs w:val="32"/>
        </w:rPr>
        <w:t>径</w:t>
      </w:r>
      <w:r>
        <w:rPr>
          <w:rStyle w:val="NormalCharacter"/>
          <w:rFonts w:ascii="仿宋_GB2312" w:eastAsia="仿宋_GB2312" w:hAnsi="宋体" w:cstheme="minorBidi" w:hint="eastAsia"/>
          <w:kern w:val="0"/>
          <w:sz w:val="32"/>
          <w:szCs w:val="32"/>
        </w:rPr>
        <w:t>，注重培养学生的职业能力，注重打造学生的职业精神，积极构建基础知识、专业技能、职业素质、职业精神全面均衡的人才培养模式，学生全面发展，综合素质高</w:t>
      </w:r>
      <w:r>
        <w:rPr>
          <w:rStyle w:val="NormalCharacter"/>
          <w:rFonts w:ascii="仿宋_GB2312" w:eastAsia="仿宋_GB2312" w:hAnsi="宋体" w:cstheme="minorBidi"/>
          <w:kern w:val="0"/>
          <w:sz w:val="32"/>
          <w:szCs w:val="32"/>
        </w:rPr>
        <w:t>，社会声誉</w:t>
      </w:r>
      <w:r>
        <w:rPr>
          <w:rStyle w:val="NormalCharacter"/>
          <w:rFonts w:ascii="仿宋_GB2312" w:eastAsia="仿宋_GB2312" w:hAnsi="宋体" w:cstheme="minorBidi" w:hint="eastAsia"/>
          <w:kern w:val="0"/>
          <w:sz w:val="32"/>
          <w:szCs w:val="32"/>
        </w:rPr>
        <w:t>好，2019年~2022年就业率均在98.95%以上。</w:t>
      </w:r>
    </w:p>
    <w:p w:rsidR="0032341A" w:rsidRDefault="004C4122">
      <w:pPr>
        <w:ind w:firstLineChars="200" w:firstLine="640"/>
        <w:rPr>
          <w:rStyle w:val="NormalCharacter"/>
          <w:rFonts w:ascii="仿宋_GB2312" w:eastAsia="仿宋_GB2312" w:hAnsi="宋体" w:cstheme="minorBidi"/>
          <w:kern w:val="0"/>
          <w:sz w:val="32"/>
          <w:szCs w:val="32"/>
        </w:rPr>
      </w:pPr>
      <w:r>
        <w:rPr>
          <w:rStyle w:val="NormalCharacter"/>
          <w:rFonts w:ascii="仿宋_GB2312" w:eastAsia="仿宋_GB2312" w:hAnsi="宋体" w:cstheme="minorBidi" w:hint="eastAsia"/>
          <w:kern w:val="0"/>
          <w:sz w:val="32"/>
          <w:szCs w:val="32"/>
        </w:rPr>
        <w:t>我校建有校内护理实训中心，创建以学生为本，教学理念先进，管理严谨，护理实训中心设有护士站、重症监护室、模拟手术室、急救中心室、静脉输液室，母婴护理室等，四十多间专业实训室，各实训</w:t>
      </w:r>
      <w:proofErr w:type="gramStart"/>
      <w:r>
        <w:rPr>
          <w:rStyle w:val="NormalCharacter"/>
          <w:rFonts w:ascii="仿宋_GB2312" w:eastAsia="仿宋_GB2312" w:hAnsi="宋体" w:cstheme="minorBidi" w:hint="eastAsia"/>
          <w:kern w:val="0"/>
          <w:sz w:val="32"/>
          <w:szCs w:val="32"/>
        </w:rPr>
        <w:t>室环境</w:t>
      </w:r>
      <w:proofErr w:type="gramEnd"/>
      <w:r>
        <w:rPr>
          <w:rStyle w:val="NormalCharacter"/>
          <w:rFonts w:ascii="仿宋_GB2312" w:eastAsia="仿宋_GB2312" w:hAnsi="宋体" w:cstheme="minorBidi" w:hint="eastAsia"/>
          <w:kern w:val="0"/>
          <w:sz w:val="32"/>
          <w:szCs w:val="32"/>
        </w:rPr>
        <w:t>整洁优美，布局科学合理，设备设施齐全，学生通过实训课程开展人性化护理。实训课程</w:t>
      </w:r>
      <w:proofErr w:type="gramStart"/>
      <w:r>
        <w:rPr>
          <w:rStyle w:val="NormalCharacter"/>
          <w:rFonts w:ascii="仿宋_GB2312" w:eastAsia="仿宋_GB2312" w:hAnsi="宋体" w:cstheme="minorBidi" w:hint="eastAsia"/>
          <w:kern w:val="0"/>
          <w:sz w:val="32"/>
          <w:szCs w:val="32"/>
        </w:rPr>
        <w:t>“</w:t>
      </w:r>
      <w:proofErr w:type="gramEnd"/>
      <w:r>
        <w:rPr>
          <w:rStyle w:val="NormalCharacter"/>
          <w:rFonts w:ascii="仿宋_GB2312" w:eastAsia="仿宋_GB2312" w:hAnsi="宋体" w:cstheme="minorBidi" w:hint="eastAsia"/>
          <w:kern w:val="0"/>
          <w:sz w:val="32"/>
          <w:szCs w:val="32"/>
        </w:rPr>
        <w:t>以人为本"，</w:t>
      </w:r>
      <w:proofErr w:type="gramStart"/>
      <w:r>
        <w:rPr>
          <w:rStyle w:val="NormalCharacter"/>
          <w:rFonts w:ascii="仿宋_GB2312" w:eastAsia="仿宋_GB2312" w:hAnsi="宋体" w:cstheme="minorBidi" w:hint="eastAsia"/>
          <w:kern w:val="0"/>
          <w:sz w:val="32"/>
          <w:szCs w:val="32"/>
        </w:rPr>
        <w:t>“</w:t>
      </w:r>
      <w:proofErr w:type="gramEnd"/>
      <w:r>
        <w:rPr>
          <w:rStyle w:val="NormalCharacter"/>
          <w:rFonts w:ascii="仿宋_GB2312" w:eastAsia="仿宋_GB2312" w:hAnsi="宋体" w:cstheme="minorBidi" w:hint="eastAsia"/>
          <w:kern w:val="0"/>
          <w:sz w:val="32"/>
          <w:szCs w:val="32"/>
        </w:rPr>
        <w:t>以患者为中心"的核心理念以施展教学，实训中心总占地使用面积8800平方米，设施设备价值近3000万元，护理实训中心向学生全面开放，是集教学实训、社会职业培训、技能竞赛、教科研等功能一体的综合性实训基地。建有自己的校属的科室齐全的综合门诊部与全国首创的</w:t>
      </w:r>
      <w:proofErr w:type="gramStart"/>
      <w:r>
        <w:rPr>
          <w:rStyle w:val="NormalCharacter"/>
          <w:rFonts w:ascii="仿宋_GB2312" w:eastAsia="仿宋_GB2312" w:hAnsi="宋体" w:cstheme="minorBidi" w:hint="eastAsia"/>
          <w:kern w:val="0"/>
          <w:sz w:val="32"/>
          <w:szCs w:val="32"/>
        </w:rPr>
        <w:t>医</w:t>
      </w:r>
      <w:proofErr w:type="gramEnd"/>
      <w:r>
        <w:rPr>
          <w:rStyle w:val="NormalCharacter"/>
          <w:rFonts w:ascii="仿宋_GB2312" w:eastAsia="仿宋_GB2312" w:hAnsi="宋体" w:cstheme="minorBidi" w:hint="eastAsia"/>
          <w:kern w:val="0"/>
          <w:sz w:val="32"/>
          <w:szCs w:val="32"/>
        </w:rPr>
        <w:t>、养、护、教四结合的养老院，作为学生的课间实训见习基地。与广东医科大学附属医院、广东医科大学附属第二人民医院、湛江中心人民医院、广东省农垦中心医院、湛江市第一中医医院、外市的三甲、二甲医院等82家教学或综合医院签订长期“校外实践基地”协议，为学生提供完成临床教学任务的实践基地。2023年与</w:t>
      </w:r>
    </w:p>
    <w:p w:rsidR="0032341A" w:rsidRDefault="004C4122" w:rsidP="00540D4F">
      <w:pPr>
        <w:pStyle w:val="Style44"/>
        <w:spacing w:line="560" w:lineRule="exact"/>
        <w:ind w:firstLine="640"/>
        <w:rPr>
          <w:rStyle w:val="NormalCharacter"/>
          <w:rFonts w:ascii="黑体" w:eastAsia="黑体" w:hAnsi="黑体"/>
          <w:kern w:val="0"/>
          <w:sz w:val="32"/>
          <w:szCs w:val="32"/>
        </w:rPr>
      </w:pPr>
      <w:r>
        <w:rPr>
          <w:rStyle w:val="NormalCharacter"/>
          <w:rFonts w:ascii="黑体" w:eastAsia="黑体" w:hAnsi="黑体"/>
          <w:kern w:val="0"/>
          <w:sz w:val="32"/>
          <w:szCs w:val="32"/>
        </w:rPr>
        <w:lastRenderedPageBreak/>
        <w:t>二、项目建设情况</w:t>
      </w:r>
    </w:p>
    <w:p w:rsidR="0032341A" w:rsidRPr="00677E85" w:rsidRDefault="004C4122" w:rsidP="00677E85">
      <w:pPr>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（一）完善专业建设管理机制</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建立了以学校领导为首的专业建设指导委员会，制定了一系列专业建设和管理的规章制度，包括专业建设规划、教学管理、师资队伍建设等。通过这些制度的建立和实施，实现了对项目过程的规范化、精细化管理。</w:t>
      </w:r>
    </w:p>
    <w:p w:rsidR="0032341A" w:rsidRPr="00677E85" w:rsidRDefault="004C4122" w:rsidP="00677E85">
      <w:pPr>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（二）改善专业教学条件</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1.建设了护理专业实训中心，购置了先进的护理实验设备和器材，包括模拟病房、心肺复苏模型、多功能护理床等。增加了教学设备和器材的投入，优化了教学环境。同时，我们还与多家医疗机构合作，建立了校企联合培养基地。</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2.建设了数字化教学资源库，包括在线课程、微课程、虚拟仿真实验等，方便学生进行自主学习和自我测评。</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3.引进了优秀的师资力量，通过内部培训和外部引进，建立了一支高水平的护理专业师资队伍。</w:t>
      </w:r>
    </w:p>
    <w:p w:rsidR="0032341A" w:rsidRPr="00677E85" w:rsidRDefault="004C4122" w:rsidP="00677E85">
      <w:pPr>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（三）提升专业校企精准对接培养水平</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加强了与企业的合作，共同制定人才培养方案，定期举行护理专业的职业能力比赛，提升学生的实践操作能力。同时，我们还邀请企业参与课程设置和教学质量评估，提高了教学的针对性和实用性。</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lastRenderedPageBreak/>
        <w:t>1.共同开发了基于工作过程的课程体系，将医疗机构的实际工作需求融入到课程内容中，实现了课程内容的精准对接。</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2.建立了校企联合培养机制，通过</w:t>
      </w:r>
      <w:r>
        <w:rPr>
          <w:rStyle w:val="NormalCharacter"/>
          <w:rFonts w:ascii="仿宋_GB2312" w:eastAsia="仿宋_GB2312" w:hAnsi="宋体"/>
          <w:kern w:val="0"/>
          <w:sz w:val="32"/>
          <w:szCs w:val="32"/>
        </w:rPr>
        <w:t>“</w:t>
      </w:r>
      <w:r>
        <w:rPr>
          <w:rStyle w:val="NormalCharacter"/>
          <w:rFonts w:ascii="仿宋_GB2312" w:eastAsia="仿宋_GB2312" w:hAnsi="宋体"/>
          <w:kern w:val="0"/>
          <w:sz w:val="32"/>
          <w:szCs w:val="32"/>
        </w:rPr>
        <w:t>订单班</w:t>
      </w:r>
      <w:r>
        <w:rPr>
          <w:rStyle w:val="NormalCharacter"/>
          <w:rFonts w:ascii="仿宋_GB2312" w:eastAsia="仿宋_GB2312" w:hAnsi="宋体"/>
          <w:kern w:val="0"/>
          <w:sz w:val="32"/>
          <w:szCs w:val="32"/>
        </w:rPr>
        <w:t>”</w:t>
      </w:r>
      <w:r>
        <w:rPr>
          <w:rStyle w:val="NormalCharacter"/>
          <w:rFonts w:ascii="仿宋_GB2312" w:eastAsia="仿宋_GB2312" w:hAnsi="宋体"/>
          <w:kern w:val="0"/>
          <w:sz w:val="32"/>
          <w:szCs w:val="32"/>
        </w:rPr>
        <w:t>等形式，实现了学生从学校到企业的无缝对接。</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3.建设了一支由企业专家和学校教师组成的</w:t>
      </w:r>
      <w:r>
        <w:rPr>
          <w:rStyle w:val="NormalCharacter"/>
          <w:rFonts w:ascii="仿宋_GB2312" w:eastAsia="仿宋_GB2312" w:hAnsi="宋体"/>
          <w:kern w:val="0"/>
          <w:sz w:val="32"/>
          <w:szCs w:val="32"/>
        </w:rPr>
        <w:t>“</w:t>
      </w:r>
      <w:r>
        <w:rPr>
          <w:rStyle w:val="NormalCharacter"/>
          <w:rFonts w:ascii="仿宋_GB2312" w:eastAsia="仿宋_GB2312" w:hAnsi="宋体"/>
          <w:kern w:val="0"/>
          <w:sz w:val="32"/>
          <w:szCs w:val="32"/>
        </w:rPr>
        <w:t>双师型</w:t>
      </w:r>
      <w:r>
        <w:rPr>
          <w:rStyle w:val="NormalCharacter"/>
          <w:rFonts w:ascii="仿宋_GB2312" w:eastAsia="仿宋_GB2312" w:hAnsi="宋体"/>
          <w:kern w:val="0"/>
          <w:sz w:val="32"/>
          <w:szCs w:val="32"/>
        </w:rPr>
        <w:t>”</w:t>
      </w:r>
      <w:r>
        <w:rPr>
          <w:rStyle w:val="NormalCharacter"/>
          <w:rFonts w:ascii="仿宋_GB2312" w:eastAsia="仿宋_GB2312" w:hAnsi="宋体"/>
          <w:kern w:val="0"/>
          <w:sz w:val="32"/>
          <w:szCs w:val="32"/>
        </w:rPr>
        <w:t>师资队伍，通过共同授课和指导，提高了学生的实践能力和职业素养。</w:t>
      </w:r>
    </w:p>
    <w:p w:rsidR="0032341A" w:rsidRPr="00677E85" w:rsidRDefault="004C4122" w:rsidP="00677E85">
      <w:pPr>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（四）加强专业师资队伍建设</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1.加强教师职业道德教育，树立以德立教、以德育人的育人观念。</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2.优化教师队伍结构，通过引进高层次人才、培养骨干教师等方式，提高教师队伍的整体素质。</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3.鼓励教师参加各类培训和学术交流活动，提高教师的专业素养和教育教学水平。</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4.</w:t>
      </w:r>
      <w:r>
        <w:rPr>
          <w:rStyle w:val="NormalCharacter"/>
          <w:rFonts w:ascii="仿宋_GB2312" w:eastAsia="仿宋_GB2312" w:hAnsi="宋体"/>
          <w:kern w:val="0"/>
          <w:sz w:val="32"/>
          <w:szCs w:val="32"/>
        </w:rPr>
        <w:t>加强师德师风建设，建立健全师德评价机制和公示制度，表彰优秀教师，发挥示范作用。</w:t>
      </w:r>
    </w:p>
    <w:p w:rsidR="0032341A" w:rsidRPr="00677E85" w:rsidRDefault="004C4122" w:rsidP="00677E85">
      <w:pPr>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（五）改革专业教学质量评价模式</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1.</w:t>
      </w:r>
      <w:r>
        <w:rPr>
          <w:rStyle w:val="NormalCharacter"/>
          <w:rFonts w:ascii="仿宋_GB2312" w:eastAsia="仿宋_GB2312" w:hAnsi="宋体"/>
          <w:kern w:val="0"/>
          <w:sz w:val="32"/>
          <w:szCs w:val="32"/>
        </w:rPr>
        <w:t>建立以职业能力为核心的评价体系，采用多种评价方法，如：面谈、作品评价、实操评价等，客观评价学生的学习成果。</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lastRenderedPageBreak/>
        <w:t>2.</w:t>
      </w:r>
      <w:r>
        <w:rPr>
          <w:rStyle w:val="NormalCharacter"/>
          <w:rFonts w:ascii="仿宋_GB2312" w:eastAsia="仿宋_GB2312" w:hAnsi="宋体"/>
          <w:kern w:val="0"/>
          <w:sz w:val="32"/>
          <w:szCs w:val="32"/>
        </w:rPr>
        <w:t>以企业需求为导向，将市场需求和毕业生反馈纳入教学质量评价中，重视学生的职业发展和企业对人才的需求。</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3.</w:t>
      </w:r>
      <w:r>
        <w:rPr>
          <w:rStyle w:val="NormalCharacter"/>
          <w:rFonts w:ascii="仿宋_GB2312" w:eastAsia="仿宋_GB2312" w:hAnsi="宋体"/>
          <w:kern w:val="0"/>
          <w:sz w:val="32"/>
          <w:szCs w:val="32"/>
        </w:rPr>
        <w:t>实行多元化评价模式，包括学生自评、互评、教师评价和企业评价等，确保评价结果的客观性和公正性。</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4.</w:t>
      </w:r>
      <w:r>
        <w:rPr>
          <w:rStyle w:val="NormalCharacter"/>
          <w:rFonts w:ascii="仿宋_GB2312" w:eastAsia="仿宋_GB2312" w:hAnsi="宋体"/>
          <w:kern w:val="0"/>
          <w:sz w:val="32"/>
          <w:szCs w:val="32"/>
        </w:rPr>
        <w:t>通过建立信息反馈机制，及时发现问题并加以改进，不断提升教学质量。</w:t>
      </w:r>
    </w:p>
    <w:p w:rsidR="0032341A" w:rsidRDefault="004C4122" w:rsidP="00540D4F">
      <w:pPr>
        <w:pStyle w:val="TOC1"/>
        <w:tabs>
          <w:tab w:val="right" w:leader="dot" w:pos="8306"/>
        </w:tabs>
        <w:spacing w:line="560" w:lineRule="exact"/>
        <w:ind w:firstLineChars="200" w:firstLine="640"/>
        <w:rPr>
          <w:rStyle w:val="NormalCharacter"/>
          <w:rFonts w:ascii="黑体" w:eastAsia="黑体" w:hAnsi="黑体"/>
          <w:kern w:val="0"/>
          <w:sz w:val="32"/>
          <w:szCs w:val="32"/>
        </w:rPr>
      </w:pPr>
      <w:r>
        <w:rPr>
          <w:rStyle w:val="NormalCharacter"/>
          <w:rFonts w:ascii="黑体" w:eastAsia="黑体" w:hAnsi="黑体"/>
          <w:kern w:val="0"/>
          <w:sz w:val="32"/>
          <w:szCs w:val="32"/>
        </w:rPr>
        <w:t>三、项目建设目标实现情况</w:t>
      </w:r>
    </w:p>
    <w:p w:rsidR="0032341A" w:rsidRPr="00677E85" w:rsidRDefault="004C4122" w:rsidP="00677E85">
      <w:pPr>
        <w:pStyle w:val="TOC1"/>
        <w:tabs>
          <w:tab w:val="right" w:leader="dot" w:pos="8306"/>
        </w:tabs>
        <w:spacing w:line="560" w:lineRule="exact"/>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（一）目标定位</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建设目标是培养具有高素质、高技能的护理人才，以满足社会对护理专业的需求。通过与企业的合作，我们将市场需求与人才培养相结合，注重学生的职业素养和职业技能的培养。</w:t>
      </w:r>
    </w:p>
    <w:p w:rsidR="0032341A" w:rsidRPr="00677E85" w:rsidRDefault="004C4122" w:rsidP="00677E85">
      <w:pPr>
        <w:pStyle w:val="TOC1"/>
        <w:tabs>
          <w:tab w:val="right" w:leader="dot" w:pos="8306"/>
        </w:tabs>
        <w:spacing w:line="560" w:lineRule="exact"/>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（二）办学条件</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通过改善教学条件和完善实训室建设，使学校的办学条件得到了显著提升。我们的实训室配备了先进的设备和器材，能够模拟真实的医疗环境，为学生提供良好的实践操作机会。同时，我们还建立了校企联合培养基地，加强了学校与企业的合作。</w:t>
      </w:r>
    </w:p>
    <w:p w:rsidR="0032341A" w:rsidRPr="00677E85" w:rsidRDefault="004C4122" w:rsidP="00677E85">
      <w:pPr>
        <w:pStyle w:val="TOC1"/>
        <w:tabs>
          <w:tab w:val="right" w:leader="dot" w:pos="8306"/>
        </w:tabs>
        <w:spacing w:line="560" w:lineRule="exact"/>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（三）校企合作</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积极推进校企合作，与多家医疗机构签订了合作协议，共同制定了人才培养方案和课程设置。通过合作，我们实现了学校与企业的资源共享和优势互补，提高了人才培养的质量和效果。</w:t>
      </w:r>
    </w:p>
    <w:p w:rsidR="0032341A" w:rsidRPr="00677E85" w:rsidRDefault="004C4122" w:rsidP="00677E85">
      <w:pPr>
        <w:pStyle w:val="TOC1"/>
        <w:tabs>
          <w:tab w:val="right" w:leader="dot" w:pos="8306"/>
        </w:tabs>
        <w:spacing w:line="560" w:lineRule="exact"/>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（四）诊断改进</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lastRenderedPageBreak/>
        <w:t>建立了教学质量监控和诊断改进机制，定期对教学质量进行评估和反馈。通过对学生学习情况和用人单位的反馈，我们及时调整了教学内容和方法，优化了人才培养方案。</w:t>
      </w:r>
    </w:p>
    <w:p w:rsidR="0032341A" w:rsidRPr="00677E85" w:rsidRDefault="004C4122" w:rsidP="00677E85">
      <w:pPr>
        <w:pStyle w:val="TOC1"/>
        <w:tabs>
          <w:tab w:val="right" w:leader="dot" w:pos="8306"/>
        </w:tabs>
        <w:spacing w:line="560" w:lineRule="exact"/>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（五）人才培养</w:t>
      </w:r>
    </w:p>
    <w:p w:rsidR="0032341A" w:rsidRDefault="004C4122" w:rsidP="00540D4F">
      <w:pPr>
        <w:ind w:firstLineChars="200" w:firstLine="640"/>
        <w:rPr>
          <w:rStyle w:val="NormalCharacter"/>
          <w:rFonts w:ascii="仿宋_GB2312" w:eastAsia="仿宋_GB2312" w:hAnsi="宋体" w:cstheme="minorBidi"/>
          <w:kern w:val="0"/>
          <w:sz w:val="32"/>
          <w:szCs w:val="32"/>
        </w:rPr>
      </w:pPr>
      <w:r>
        <w:rPr>
          <w:rStyle w:val="NormalCharacter"/>
          <w:rFonts w:ascii="仿宋_GB2312" w:eastAsia="仿宋_GB2312" w:hAnsi="宋体" w:cstheme="minorBidi" w:hint="eastAsia"/>
          <w:kern w:val="0"/>
          <w:sz w:val="32"/>
          <w:szCs w:val="32"/>
        </w:rPr>
        <w:t>通过深入调研和论证，制定符合行业需求的人才培养方案，增加实践教学比重，加强学生实践能力和创新意识的培养。</w:t>
      </w:r>
    </w:p>
    <w:p w:rsidR="0032341A" w:rsidRDefault="004C4122" w:rsidP="00540D4F">
      <w:pPr>
        <w:pStyle w:val="TOC1"/>
        <w:tabs>
          <w:tab w:val="right" w:leader="dot" w:pos="8306"/>
        </w:tabs>
        <w:spacing w:line="560" w:lineRule="exact"/>
        <w:ind w:firstLineChars="200" w:firstLine="640"/>
        <w:rPr>
          <w:rStyle w:val="NormalCharacter"/>
          <w:rFonts w:ascii="黑体" w:eastAsia="黑体" w:hAnsi="黑体"/>
          <w:kern w:val="0"/>
          <w:sz w:val="32"/>
          <w:szCs w:val="32"/>
        </w:rPr>
      </w:pPr>
      <w:r>
        <w:rPr>
          <w:rStyle w:val="NormalCharacter"/>
          <w:rFonts w:ascii="黑体" w:eastAsia="黑体" w:hAnsi="黑体"/>
          <w:kern w:val="0"/>
          <w:sz w:val="32"/>
          <w:szCs w:val="32"/>
        </w:rPr>
        <w:t>四、项目经费投入与使用情况</w:t>
      </w:r>
    </w:p>
    <w:p w:rsidR="0032341A" w:rsidRPr="00677E85" w:rsidRDefault="004C4122" w:rsidP="00677E85">
      <w:pPr>
        <w:pStyle w:val="TOC1"/>
        <w:tabs>
          <w:tab w:val="right" w:leader="dot" w:pos="8306"/>
        </w:tabs>
        <w:spacing w:line="560" w:lineRule="exact"/>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（一）资金来源及到账情况</w:t>
      </w:r>
    </w:p>
    <w:p w:rsidR="0032341A" w:rsidRDefault="004C4122" w:rsidP="00540D4F">
      <w:pPr>
        <w:ind w:firstLineChars="200" w:firstLine="640"/>
        <w:rPr>
          <w:rFonts w:eastAsia="仿宋_GB2312"/>
        </w:rPr>
      </w:pPr>
      <w:r>
        <w:rPr>
          <w:rStyle w:val="NormalCharacter"/>
          <w:rFonts w:ascii="仿宋_GB2312" w:eastAsia="仿宋_GB2312" w:hAnsi="宋体"/>
          <w:kern w:val="0"/>
          <w:sz w:val="32"/>
          <w:szCs w:val="32"/>
        </w:rPr>
        <w:t>该项目共获得经费支持</w:t>
      </w:r>
      <w:r w:rsidR="00FF5C17">
        <w:rPr>
          <w:rStyle w:val="NormalCharacter"/>
          <w:rFonts w:ascii="仿宋_GB2312" w:eastAsia="仿宋_GB2312" w:hAnsi="宋体" w:hint="eastAsia"/>
          <w:kern w:val="0"/>
          <w:sz w:val="32"/>
          <w:szCs w:val="32"/>
        </w:rPr>
        <w:t>471.43</w:t>
      </w:r>
      <w:r>
        <w:rPr>
          <w:rStyle w:val="NormalCharacter"/>
          <w:rFonts w:ascii="仿宋_GB2312" w:eastAsia="仿宋_GB2312" w:hAnsi="宋体"/>
          <w:kern w:val="0"/>
          <w:sz w:val="32"/>
          <w:szCs w:val="32"/>
        </w:rPr>
        <w:t>万元，已全部到账并投入使用。</w:t>
      </w:r>
    </w:p>
    <w:p w:rsidR="0032341A" w:rsidRPr="00677E85" w:rsidRDefault="004C4122" w:rsidP="00677E85">
      <w:pPr>
        <w:pStyle w:val="TOC1"/>
        <w:tabs>
          <w:tab w:val="right" w:leader="dot" w:pos="8306"/>
        </w:tabs>
        <w:spacing w:line="560" w:lineRule="exact"/>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（二）项目资金使用及管理情况</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具体使用情况如下：</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1.完善专业建设管理机制1</w:t>
      </w:r>
      <w:r>
        <w:rPr>
          <w:rStyle w:val="NormalCharacter"/>
          <w:rFonts w:ascii="仿宋_GB2312" w:eastAsia="仿宋_GB2312" w:hAnsi="宋体"/>
          <w:kern w:val="0"/>
          <w:sz w:val="32"/>
          <w:szCs w:val="32"/>
        </w:rPr>
        <w:t>万元；</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2.改善专业教学条件</w:t>
      </w:r>
      <w:r w:rsidR="00FF5C17" w:rsidRPr="00FF5C17">
        <w:rPr>
          <w:rStyle w:val="NormalCharacter"/>
          <w:rFonts w:ascii="仿宋_GB2312" w:eastAsia="仿宋_GB2312" w:hAnsi="宋体"/>
          <w:kern w:val="0"/>
          <w:sz w:val="32"/>
          <w:szCs w:val="32"/>
        </w:rPr>
        <w:t>348.78</w:t>
      </w:r>
      <w:r>
        <w:rPr>
          <w:rStyle w:val="NormalCharacter"/>
          <w:rFonts w:ascii="仿宋_GB2312" w:eastAsia="仿宋_GB2312" w:hAnsi="宋体"/>
          <w:kern w:val="0"/>
          <w:sz w:val="32"/>
          <w:szCs w:val="32"/>
        </w:rPr>
        <w:t>万元；</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3.提升专业校企精准对接培养水平</w:t>
      </w:r>
      <w:r w:rsidR="00FF5C17" w:rsidRPr="00FF5C17">
        <w:rPr>
          <w:rStyle w:val="NormalCharacter"/>
          <w:rFonts w:ascii="仿宋_GB2312" w:eastAsia="仿宋_GB2312" w:hAnsi="宋体"/>
          <w:kern w:val="0"/>
          <w:sz w:val="32"/>
          <w:szCs w:val="32"/>
        </w:rPr>
        <w:t>59.23</w:t>
      </w:r>
      <w:r>
        <w:rPr>
          <w:rStyle w:val="NormalCharacter"/>
          <w:rFonts w:ascii="仿宋_GB2312" w:eastAsia="仿宋_GB2312" w:hAnsi="宋体"/>
          <w:kern w:val="0"/>
          <w:sz w:val="32"/>
          <w:szCs w:val="32"/>
        </w:rPr>
        <w:t>万元；</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4.加强专业师资队伍建设</w:t>
      </w:r>
      <w:r w:rsidR="00FF5C17" w:rsidRPr="00FF5C17">
        <w:rPr>
          <w:rStyle w:val="NormalCharacter"/>
          <w:rFonts w:ascii="仿宋_GB2312" w:eastAsia="仿宋_GB2312" w:hAnsi="宋体"/>
          <w:kern w:val="0"/>
          <w:sz w:val="32"/>
          <w:szCs w:val="32"/>
        </w:rPr>
        <w:t>35.12</w:t>
      </w:r>
      <w:r>
        <w:rPr>
          <w:rStyle w:val="NormalCharacter"/>
          <w:rFonts w:ascii="仿宋_GB2312" w:eastAsia="仿宋_GB2312" w:hAnsi="宋体"/>
          <w:kern w:val="0"/>
          <w:sz w:val="32"/>
          <w:szCs w:val="32"/>
        </w:rPr>
        <w:t>万元</w:t>
      </w:r>
      <w:r>
        <w:rPr>
          <w:rStyle w:val="NormalCharacter"/>
          <w:rFonts w:ascii="仿宋_GB2312" w:eastAsia="仿宋_GB2312" w:hAnsi="宋体" w:hint="eastAsia"/>
          <w:kern w:val="0"/>
          <w:sz w:val="32"/>
          <w:szCs w:val="32"/>
        </w:rPr>
        <w:t>；</w:t>
      </w:r>
    </w:p>
    <w:p w:rsidR="0032341A" w:rsidRDefault="004C4122" w:rsidP="00540D4F">
      <w:pPr>
        <w:ind w:firstLineChars="200" w:firstLine="640"/>
        <w:rPr>
          <w:rFonts w:eastAsia="仿宋_GB2312"/>
        </w:rPr>
      </w:pPr>
      <w:r>
        <w:rPr>
          <w:rStyle w:val="NormalCharacter"/>
          <w:rFonts w:ascii="仿宋_GB2312" w:eastAsia="仿宋_GB2312" w:hAnsi="宋体" w:hint="eastAsia"/>
          <w:kern w:val="0"/>
          <w:sz w:val="32"/>
          <w:szCs w:val="32"/>
        </w:rPr>
        <w:t>5.改革专业教学质量评价模式</w:t>
      </w:r>
      <w:r w:rsidR="00FF5C17" w:rsidRPr="00FF5C17">
        <w:rPr>
          <w:rStyle w:val="NormalCharacter"/>
          <w:rFonts w:ascii="仿宋_GB2312" w:eastAsia="仿宋_GB2312" w:hAnsi="宋体"/>
          <w:kern w:val="0"/>
          <w:sz w:val="32"/>
          <w:szCs w:val="32"/>
        </w:rPr>
        <w:t>27.3</w:t>
      </w:r>
      <w:r>
        <w:rPr>
          <w:rStyle w:val="NormalCharacter"/>
          <w:rFonts w:ascii="仿宋_GB2312" w:eastAsia="仿宋_GB2312" w:hAnsi="宋体" w:hint="eastAsia"/>
          <w:kern w:val="0"/>
          <w:sz w:val="32"/>
          <w:szCs w:val="32"/>
        </w:rPr>
        <w:t>万元。</w:t>
      </w:r>
    </w:p>
    <w:p w:rsidR="0032341A" w:rsidRDefault="0032341A" w:rsidP="00540D4F">
      <w:pPr>
        <w:ind w:firstLineChars="200" w:firstLine="420"/>
      </w:pPr>
    </w:p>
    <w:p w:rsidR="0032341A" w:rsidRDefault="004C4122" w:rsidP="00540D4F">
      <w:pPr>
        <w:numPr>
          <w:ilvl w:val="0"/>
          <w:numId w:val="1"/>
        </w:numPr>
        <w:spacing w:line="560" w:lineRule="exact"/>
        <w:ind w:firstLineChars="200" w:firstLine="640"/>
        <w:rPr>
          <w:rStyle w:val="NormalCharacter"/>
          <w:rFonts w:ascii="黑体" w:eastAsia="黑体" w:hAnsi="黑体"/>
          <w:kern w:val="0"/>
          <w:sz w:val="32"/>
          <w:szCs w:val="32"/>
        </w:rPr>
      </w:pPr>
      <w:r>
        <w:rPr>
          <w:rStyle w:val="NormalCharacter"/>
          <w:rFonts w:ascii="黑体" w:eastAsia="黑体" w:hAnsi="黑体"/>
          <w:kern w:val="0"/>
          <w:sz w:val="32"/>
          <w:szCs w:val="32"/>
        </w:rPr>
        <w:t>取得的标志性成果</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proofErr w:type="gramStart"/>
      <w:r>
        <w:rPr>
          <w:rStyle w:val="NormalCharacter"/>
          <w:rFonts w:ascii="仿宋_GB2312" w:eastAsia="仿宋_GB2312" w:hAnsi="宋体" w:hint="eastAsia"/>
          <w:kern w:val="0"/>
          <w:sz w:val="32"/>
          <w:szCs w:val="32"/>
        </w:rPr>
        <w:t>自项目</w:t>
      </w:r>
      <w:proofErr w:type="gramEnd"/>
      <w:r>
        <w:rPr>
          <w:rStyle w:val="NormalCharacter"/>
          <w:rFonts w:ascii="仿宋_GB2312" w:eastAsia="仿宋_GB2312" w:hAnsi="宋体" w:hint="eastAsia"/>
          <w:kern w:val="0"/>
          <w:sz w:val="32"/>
          <w:szCs w:val="32"/>
        </w:rPr>
        <w:t>实施以来，我们取得了以下标志性成果：</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（一）成功申报省级精品课程2门；</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（二）教师获得省级以上教学竞赛奖项5人；</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lastRenderedPageBreak/>
        <w:t>（三）学生在省级以上技能比赛中获得奖项6人；</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（四）成功申请省级教改课题13项；</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（五）发表相关学术论文8篇；</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（六）参编教材3本。</w:t>
      </w:r>
    </w:p>
    <w:p w:rsidR="0032341A" w:rsidRDefault="004C4122" w:rsidP="00540D4F">
      <w:pPr>
        <w:pStyle w:val="TOC1"/>
        <w:tabs>
          <w:tab w:val="right" w:leader="dot" w:pos="8306"/>
        </w:tabs>
        <w:spacing w:line="560" w:lineRule="exact"/>
        <w:ind w:firstLineChars="200" w:firstLine="640"/>
        <w:rPr>
          <w:rStyle w:val="NormalCharacter"/>
          <w:rFonts w:ascii="黑体" w:eastAsia="黑体" w:hAnsi="黑体"/>
          <w:bCs/>
          <w:kern w:val="0"/>
          <w:sz w:val="32"/>
          <w:szCs w:val="32"/>
        </w:rPr>
      </w:pPr>
      <w:r>
        <w:rPr>
          <w:rStyle w:val="NormalCharacter"/>
          <w:rFonts w:ascii="黑体" w:eastAsia="黑体" w:hAnsi="黑体"/>
          <w:kern w:val="0"/>
          <w:sz w:val="32"/>
          <w:szCs w:val="32"/>
        </w:rPr>
        <w:t>六、</w:t>
      </w:r>
      <w:r>
        <w:rPr>
          <w:rStyle w:val="NormalCharacter"/>
          <w:rFonts w:ascii="黑体" w:eastAsia="黑体" w:hAnsi="黑体"/>
          <w:bCs/>
          <w:kern w:val="0"/>
          <w:sz w:val="32"/>
          <w:szCs w:val="32"/>
        </w:rPr>
        <w:t>成果的推广应用</w:t>
      </w:r>
    </w:p>
    <w:p w:rsidR="0032341A" w:rsidRDefault="004C4122" w:rsidP="00540D4F">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我们将所有项目成果进行推广应用，以促进本校和其他卫生职业学校护理专业的建设和改革。我们将向其他兄弟院校推广我们的经验和做法，提供必要的技术支持和培训。同时，我们还将通过定期组织交流研讨会和技术培训等形式推广我们的教改成果和应用情况。此外，我们还将在校内外积极开展职业培训、技能鉴定和技术服务等活动，增强社会服务能力的同时实现资源共享，并不断调整优化教育资源配置以及及时调整课程设置、提高教学质量以满足社会的需求为相关行业的各级各类用人单位输送优秀毕业生并为其提供优质的教育培训服务。</w:t>
      </w:r>
    </w:p>
    <w:p w:rsidR="0032341A" w:rsidRDefault="004C4122" w:rsidP="00540D4F">
      <w:pPr>
        <w:pStyle w:val="TOC1"/>
        <w:tabs>
          <w:tab w:val="right" w:leader="dot" w:pos="8306"/>
        </w:tabs>
        <w:spacing w:line="560" w:lineRule="exact"/>
        <w:ind w:firstLineChars="200" w:firstLine="640"/>
        <w:rPr>
          <w:rStyle w:val="NormalCharacter"/>
          <w:rFonts w:ascii="黑体" w:eastAsia="黑体" w:hAnsi="黑体"/>
          <w:kern w:val="0"/>
          <w:sz w:val="32"/>
          <w:szCs w:val="32"/>
        </w:rPr>
      </w:pPr>
      <w:r>
        <w:rPr>
          <w:rStyle w:val="NormalCharacter"/>
          <w:rFonts w:ascii="黑体" w:eastAsia="黑体" w:hAnsi="黑体"/>
          <w:bCs/>
          <w:kern w:val="0"/>
          <w:sz w:val="32"/>
          <w:szCs w:val="32"/>
        </w:rPr>
        <w:t>七、</w:t>
      </w:r>
      <w:r>
        <w:rPr>
          <w:rStyle w:val="NormalCharacter"/>
          <w:rFonts w:ascii="黑体" w:eastAsia="黑体" w:hAnsi="黑体"/>
          <w:kern w:val="0"/>
          <w:sz w:val="32"/>
          <w:szCs w:val="32"/>
        </w:rPr>
        <w:t>存在的问题与改进措施</w:t>
      </w:r>
    </w:p>
    <w:p w:rsidR="0032341A" w:rsidRPr="00677E85" w:rsidRDefault="004C4122" w:rsidP="00677E85">
      <w:pPr>
        <w:pStyle w:val="TOC1"/>
        <w:tabs>
          <w:tab w:val="right" w:leader="dot" w:pos="8306"/>
        </w:tabs>
        <w:spacing w:line="560" w:lineRule="exact"/>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（一）存在问题</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 xml:space="preserve"> 1. 实训室建设和设备购置方面存在不足：部分实训室建设和设备购置存在重复现象，导致部分设备利用率不高。</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 xml:space="preserve"> 2. 教师培训方面存在不足：教师培训方面存在不足主要体现在缺乏系统性和针对性。部分教师缺乏临床实践经验以及相关医学知识更新不够及时等问题导致教学质量受到影响。 </w:t>
      </w:r>
    </w:p>
    <w:p w:rsidR="0032341A" w:rsidRPr="00677E85" w:rsidRDefault="004C4122" w:rsidP="00677E85">
      <w:pPr>
        <w:pStyle w:val="TOC1"/>
        <w:tabs>
          <w:tab w:val="right" w:leader="dot" w:pos="8306"/>
        </w:tabs>
        <w:spacing w:line="560" w:lineRule="exact"/>
        <w:ind w:firstLineChars="200" w:firstLine="643"/>
        <w:rPr>
          <w:rStyle w:val="NormalCharacter"/>
          <w:rFonts w:ascii="仿宋_GB2312" w:eastAsia="仿宋_GB2312" w:hAnsi="宋体"/>
          <w:b/>
          <w:kern w:val="0"/>
          <w:sz w:val="32"/>
          <w:szCs w:val="32"/>
        </w:rPr>
      </w:pPr>
      <w:r w:rsidRPr="00677E85">
        <w:rPr>
          <w:rStyle w:val="NormalCharacter"/>
          <w:rFonts w:ascii="仿宋_GB2312" w:eastAsia="仿宋_GB2312" w:hAnsi="宋体"/>
          <w:b/>
          <w:kern w:val="0"/>
          <w:sz w:val="32"/>
          <w:szCs w:val="32"/>
        </w:rPr>
        <w:t>（二）改进措施</w:t>
      </w:r>
      <w:r w:rsidRPr="00677E85">
        <w:rPr>
          <w:rStyle w:val="NormalCharacter"/>
          <w:rFonts w:ascii="仿宋_GB2312" w:eastAsia="仿宋_GB2312" w:hAnsi="宋体" w:hint="eastAsia"/>
          <w:b/>
          <w:kern w:val="0"/>
          <w:sz w:val="32"/>
          <w:szCs w:val="32"/>
        </w:rPr>
        <w:t xml:space="preserve"> </w:t>
      </w:r>
    </w:p>
    <w:p w:rsidR="0032341A" w:rsidRDefault="004C4122" w:rsidP="00677E85">
      <w:pPr>
        <w:pStyle w:val="TOC1"/>
        <w:tabs>
          <w:tab w:val="right" w:leader="dot" w:pos="8306"/>
        </w:tabs>
        <w:spacing w:line="56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lastRenderedPageBreak/>
        <w:t>1. 加强实训室</w:t>
      </w:r>
      <w:bookmarkStart w:id="0" w:name="_GoBack"/>
      <w:bookmarkEnd w:id="0"/>
      <w:r>
        <w:rPr>
          <w:rStyle w:val="NormalCharacter"/>
          <w:rFonts w:ascii="仿宋_GB2312" w:eastAsia="仿宋_GB2312" w:hAnsi="宋体" w:hint="eastAsia"/>
          <w:kern w:val="0"/>
          <w:sz w:val="32"/>
          <w:szCs w:val="32"/>
        </w:rPr>
        <w:t xml:space="preserve">建设和设备购置的规划和统筹工作实现资源共享并提高设备利用率； </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 xml:space="preserve">2. 加强教师培训工作并建立完善的培训机制以提高教师教育教学能力为核心促进教师专业化发展； </w:t>
      </w:r>
    </w:p>
    <w:p w:rsidR="0032341A" w:rsidRDefault="004C4122" w:rsidP="00540D4F">
      <w:pPr>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 xml:space="preserve">3. 加强临床实践环节教学管理及时更新相关医学知识内容并将其融入教学过程中以提高教学质量水平。 </w:t>
      </w:r>
    </w:p>
    <w:p w:rsidR="0032341A" w:rsidRDefault="0032341A" w:rsidP="00540D4F">
      <w:pPr>
        <w:spacing w:line="560" w:lineRule="exact"/>
        <w:ind w:firstLineChars="200" w:firstLine="640"/>
        <w:rPr>
          <w:rStyle w:val="NormalCharacter"/>
          <w:rFonts w:ascii="仿宋_GB2312" w:eastAsia="仿宋_GB2312" w:hAnsi="宋体"/>
          <w:kern w:val="0"/>
          <w:sz w:val="32"/>
          <w:szCs w:val="32"/>
        </w:rPr>
      </w:pPr>
    </w:p>
    <w:sectPr w:rsidR="0032341A">
      <w:footerReference w:type="default" r:id="rId11"/>
      <w:pgSz w:w="11906" w:h="16838"/>
      <w:pgMar w:top="2098" w:right="1474" w:bottom="1984" w:left="1587" w:header="851" w:footer="1587"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06" w:rsidRDefault="00554506">
      <w:r>
        <w:separator/>
      </w:r>
    </w:p>
  </w:endnote>
  <w:endnote w:type="continuationSeparator" w:id="0">
    <w:p w:rsidR="00554506" w:rsidRDefault="0055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1A" w:rsidRDefault="0032341A">
    <w:pPr>
      <w:pStyle w:val="a3"/>
      <w:framePr w:wrap="around" w:hAnchor="text" w:xAlign="right" w:y="1"/>
      <w:rPr>
        <w:rStyle w:val="PageNumber"/>
      </w:rPr>
    </w:pPr>
  </w:p>
  <w:p w:rsidR="0032341A" w:rsidRDefault="0032341A">
    <w:pPr>
      <w:pStyle w:val="a3"/>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1A" w:rsidRDefault="0032341A">
    <w:pPr>
      <w:pStyle w:val="a3"/>
      <w:framePr w:wrap="around" w:hAnchor="text" w:xAlign="right" w:y="1"/>
      <w:rPr>
        <w:rStyle w:val="PageNumber"/>
      </w:rPr>
    </w:pPr>
  </w:p>
  <w:p w:rsidR="0032341A" w:rsidRDefault="0032341A">
    <w:pPr>
      <w:pStyle w:val="a3"/>
      <w:ind w:right="360"/>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1A" w:rsidRDefault="004C4122">
    <w:pPr>
      <w:pStyle w:val="a3"/>
      <w:ind w:right="360"/>
      <w:jc w:val="center"/>
      <w:rPr>
        <w:rStyle w:val="NormalCharacter"/>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32341A" w:rsidRDefault="0032341A">
                          <w:pPr>
                            <w:snapToGrid w:val="0"/>
                            <w:rPr>
                              <w:rStyle w:val="NormalCharacter"/>
                              <w:sz w:val="18"/>
                            </w:rPr>
                          </w:pPr>
                        </w:p>
                        <w:p w:rsidR="0032341A" w:rsidRDefault="0032341A">
                          <w:pPr>
                            <w:rPr>
                              <w:rStyle w:val="NormalCharacter"/>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3pt;height:12.0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" filled="f" stroked="f">
              <v:textbox inset="0,0,0,0">
                <w:txbxContent>
                  <w:p w:rsidR="0032341A" w:rsidRDefault="0032341A">
                    <w:pPr>
                      <w:snapToGrid w:val="0"/>
                      <w:rPr>
                        <w:rStyle w:val="NormalCharacter"/>
                        <w:sz w:val="18"/>
                      </w:rPr>
                    </w:pPr>
                  </w:p>
                  <w:p w:rsidR="0032341A" w:rsidRDefault="0032341A">
                    <w:pPr>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06" w:rsidRDefault="00554506">
      <w:r>
        <w:separator/>
      </w:r>
    </w:p>
  </w:footnote>
  <w:footnote w:type="continuationSeparator" w:id="0">
    <w:p w:rsidR="00554506" w:rsidRDefault="00554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CFFD2"/>
    <w:multiLevelType w:val="singleLevel"/>
    <w:tmpl w:val="D83CFFD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jZmOTg4YzU2MDllYzcwZjJiYzhlNmRiYjE4MWYifQ=="/>
  </w:docVars>
  <w:rsids>
    <w:rsidRoot w:val="0032341A"/>
    <w:rsid w:val="0032341A"/>
    <w:rsid w:val="004C4122"/>
    <w:rsid w:val="00540D4F"/>
    <w:rsid w:val="00554506"/>
    <w:rsid w:val="00677E85"/>
    <w:rsid w:val="00FF5C17"/>
    <w:rsid w:val="071E2256"/>
    <w:rsid w:val="08C34CE8"/>
    <w:rsid w:val="103F7287"/>
    <w:rsid w:val="3A4C2E2C"/>
    <w:rsid w:val="4A044DB9"/>
    <w:rsid w:val="4E101F02"/>
    <w:rsid w:val="562C0004"/>
    <w:rsid w:val="5DB252C1"/>
    <w:rsid w:val="78D6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textAlignment w:val="baseline"/>
    </w:pPr>
    <w:rPr>
      <w:rFonts w:ascii="Times New Roman" w:eastAsia="宋体" w:hAnsi="Times New Roman" w:cs="Times New Roman"/>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customStyle="1" w:styleId="NormalCharacter">
    <w:name w:val="NormalCharacter"/>
    <w:semiHidden/>
    <w:qFormat/>
  </w:style>
  <w:style w:type="paragraph" w:customStyle="1" w:styleId="TOC1">
    <w:name w:val="TOC1"/>
    <w:basedOn w:val="a"/>
    <w:next w:val="a"/>
    <w:qFormat/>
  </w:style>
  <w:style w:type="paragraph" w:customStyle="1" w:styleId="Style44">
    <w:name w:val="_Style 44"/>
    <w:basedOn w:val="a"/>
    <w:next w:val="10"/>
    <w:uiPriority w:val="34"/>
    <w:qFormat/>
    <w:pPr>
      <w:widowControl w:val="0"/>
      <w:ind w:firstLineChars="200" w:firstLine="420"/>
      <w:textAlignment w:val="auto"/>
    </w:pPr>
  </w:style>
  <w:style w:type="paragraph" w:customStyle="1" w:styleId="10">
    <w:name w:val="列出段落1"/>
    <w:basedOn w:val="a"/>
    <w:uiPriority w:val="34"/>
    <w:qFormat/>
    <w:pPr>
      <w:ind w:firstLineChars="200" w:firstLine="420"/>
    </w:pPr>
  </w:style>
  <w:style w:type="character" w:customStyle="1" w:styleId="PageNumber">
    <w:name w:val="PageNumber"/>
    <w:basedOn w:val="NormalCharacter"/>
    <w:qFormat/>
  </w:style>
  <w:style w:type="paragraph" w:styleId="a4">
    <w:name w:val="header"/>
    <w:basedOn w:val="a"/>
    <w:link w:val="Char"/>
    <w:rsid w:val="00FF5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F5C1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textAlignment w:val="baseline"/>
    </w:pPr>
    <w:rPr>
      <w:rFonts w:ascii="Times New Roman" w:eastAsia="宋体" w:hAnsi="Times New Roman" w:cs="Times New Roman"/>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customStyle="1" w:styleId="NormalCharacter">
    <w:name w:val="NormalCharacter"/>
    <w:semiHidden/>
    <w:qFormat/>
  </w:style>
  <w:style w:type="paragraph" w:customStyle="1" w:styleId="TOC1">
    <w:name w:val="TOC1"/>
    <w:basedOn w:val="a"/>
    <w:next w:val="a"/>
    <w:qFormat/>
  </w:style>
  <w:style w:type="paragraph" w:customStyle="1" w:styleId="Style44">
    <w:name w:val="_Style 44"/>
    <w:basedOn w:val="a"/>
    <w:next w:val="10"/>
    <w:uiPriority w:val="34"/>
    <w:qFormat/>
    <w:pPr>
      <w:widowControl w:val="0"/>
      <w:ind w:firstLineChars="200" w:firstLine="420"/>
      <w:textAlignment w:val="auto"/>
    </w:pPr>
  </w:style>
  <w:style w:type="paragraph" w:customStyle="1" w:styleId="10">
    <w:name w:val="列出段落1"/>
    <w:basedOn w:val="a"/>
    <w:uiPriority w:val="34"/>
    <w:qFormat/>
    <w:pPr>
      <w:ind w:firstLineChars="200" w:firstLine="420"/>
    </w:pPr>
  </w:style>
  <w:style w:type="character" w:customStyle="1" w:styleId="PageNumber">
    <w:name w:val="PageNumber"/>
    <w:basedOn w:val="NormalCharacter"/>
    <w:qFormat/>
  </w:style>
  <w:style w:type="paragraph" w:styleId="a4">
    <w:name w:val="header"/>
    <w:basedOn w:val="a"/>
    <w:link w:val="Char"/>
    <w:rsid w:val="00FF5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F5C1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dcterms:created xsi:type="dcterms:W3CDTF">2023-10-05T23:55:00Z</dcterms:created>
  <dcterms:modified xsi:type="dcterms:W3CDTF">2023-11-21T13:46:00Z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F3C9501262C944F69577656863ECED31_13</vt:lpwstr>
  </property>
</Properties>
</file>